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379D" w:rsidRDefault="00055E33">
      <w:pPr>
        <w:jc w:val="center"/>
      </w:pPr>
      <w:r>
        <w:rPr>
          <w:noProof/>
        </w:rPr>
        <w:pict>
          <v:rect id="_x0000_s1026" style="position:absolute;left:0;text-align:left;margin-left:4.55pt;margin-top:-14.7pt;width:203.5pt;height:35.25pt;z-index:251659264" stroked="f"/>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68pt;height:113.15pt;visibility:visible">
            <v:imagedata r:id="rId9" o:title=""/>
          </v:shape>
        </w:pict>
      </w:r>
    </w:p>
    <w:p w:rsidR="000E379D" w:rsidRDefault="000E379D">
      <w:pPr>
        <w:jc w:val="center"/>
      </w:pPr>
    </w:p>
    <w:p w:rsidR="000E379D" w:rsidRPr="000B1EB3" w:rsidRDefault="000E379D" w:rsidP="000B1EB3">
      <w:pPr>
        <w:spacing w:after="120"/>
        <w:jc w:val="center"/>
        <w:rPr>
          <w:b/>
          <w:sz w:val="28"/>
        </w:rPr>
      </w:pPr>
      <w:r w:rsidRPr="000B1EB3">
        <w:rPr>
          <w:b/>
          <w:sz w:val="28"/>
        </w:rPr>
        <w:t>LEALA Pedagogical Resources</w:t>
      </w:r>
    </w:p>
    <w:p w:rsidR="000E379D" w:rsidRPr="000B1EB3" w:rsidRDefault="000E379D">
      <w:pPr>
        <w:jc w:val="center"/>
      </w:pPr>
      <w:r w:rsidRPr="000B1EB3">
        <w:t>World Futures Studies Federation (WFSF)</w:t>
      </w:r>
    </w:p>
    <w:p w:rsidR="000E379D" w:rsidRDefault="000E379D">
      <w:pPr>
        <w:jc w:val="center"/>
      </w:pPr>
    </w:p>
    <w:p w:rsidR="000E379D" w:rsidRDefault="000E379D" w:rsidP="000E379D">
      <w:pPr>
        <w:jc w:val="both"/>
      </w:pPr>
      <w:r>
        <w:t xml:space="preserve">Founded in Paris in 1973, the nonprofit </w:t>
      </w:r>
      <w:hyperlink r:id="rId10" w:history="1">
        <w:r>
          <w:rPr>
            <w:rStyle w:val="Hyperlink"/>
          </w:rPr>
          <w:t>WFSF</w:t>
        </w:r>
      </w:hyperlink>
      <w:r>
        <w:t xml:space="preserve"> is a UNESCO and UN consultative partner and global NGO. Members include academics, researchers, practitioners, students and futures-focused institutions. </w:t>
      </w:r>
    </w:p>
    <w:p w:rsidR="000E379D" w:rsidRDefault="000E379D" w:rsidP="000E379D">
      <w:pPr>
        <w:jc w:val="both"/>
      </w:pPr>
      <w:r>
        <w:t>Providing a platform for collaboration, WFSF offers opportunity for people to design alternative futures that incorporate long-term, top-level thinking and sweeping change.</w:t>
      </w:r>
    </w:p>
    <w:p w:rsidR="000E379D" w:rsidRDefault="000E379D" w:rsidP="000E379D">
      <w:pPr>
        <w:jc w:val="both"/>
      </w:pPr>
    </w:p>
    <w:p w:rsidR="000E379D" w:rsidRDefault="00055E33" w:rsidP="000E379D">
      <w:pPr>
        <w:jc w:val="both"/>
      </w:pPr>
      <w:hyperlink r:id="rId11" w:history="1">
        <w:r w:rsidR="000B1EB3">
          <w:rPr>
            <w:rStyle w:val="Hyperlink"/>
          </w:rPr>
          <w:t>LEALA</w:t>
        </w:r>
        <w:r w:rsidR="000E379D">
          <w:rPr>
            <w:rStyle w:val="Hyperlink"/>
          </w:rPr>
          <w:t xml:space="preserve"> Pedagogical Resources</w:t>
        </w:r>
      </w:hyperlink>
      <w:r w:rsidR="000E379D">
        <w:t xml:space="preserve"> exemplify their mission by supplying a repository of pedagogical resources, including articles, books, course materials, images, videos, PowerPoint slides and games.</w:t>
      </w:r>
    </w:p>
    <w:p w:rsidR="000E379D" w:rsidRDefault="000E379D" w:rsidP="000E379D">
      <w:pPr>
        <w:jc w:val="both"/>
      </w:pPr>
    </w:p>
    <w:p w:rsidR="000E379D" w:rsidRDefault="000E379D" w:rsidP="000E379D">
      <w:pPr>
        <w:jc w:val="both"/>
      </w:pPr>
      <w:r>
        <w:rPr>
          <w:b/>
          <w:bCs/>
        </w:rPr>
        <w:t>Educational Futures Overviews</w:t>
      </w:r>
    </w:p>
    <w:p w:rsidR="000E379D" w:rsidRDefault="000E379D" w:rsidP="000E379D">
      <w:pPr>
        <w:jc w:val="both"/>
      </w:pPr>
      <w:r>
        <w:t xml:space="preserve">The most up-to-date </w:t>
      </w:r>
      <w:hyperlink r:id="rId12" w:history="1">
        <w:r>
          <w:rPr>
            <w:rStyle w:val="Hyperlink"/>
          </w:rPr>
          <w:t>bibliographies</w:t>
        </w:r>
      </w:hyperlink>
      <w:r>
        <w:t xml:space="preserve"> from several sources are available. Also included are two "Educational Futures" reports: </w:t>
      </w:r>
      <w:hyperlink r:id="rId13" w:history="1">
        <w:r>
          <w:rPr>
            <w:rStyle w:val="Hyperlink"/>
          </w:rPr>
          <w:t>Futures in Education</w:t>
        </w:r>
      </w:hyperlink>
      <w:r>
        <w:t xml:space="preserve"> (2004) and </w:t>
      </w:r>
      <w:hyperlink r:id="rId14" w:history="1">
        <w:r>
          <w:rPr>
            <w:rStyle w:val="Hyperlink"/>
          </w:rPr>
          <w:t>International Survey of University Futures Courses</w:t>
        </w:r>
      </w:hyperlink>
      <w:r>
        <w:t xml:space="preserve"> (2006).</w:t>
      </w:r>
    </w:p>
    <w:p w:rsidR="000E379D" w:rsidRDefault="000E379D" w:rsidP="000E379D">
      <w:pPr>
        <w:jc w:val="both"/>
      </w:pPr>
    </w:p>
    <w:p w:rsidR="000E379D" w:rsidRDefault="000E379D" w:rsidP="000E379D">
      <w:pPr>
        <w:jc w:val="both"/>
      </w:pPr>
      <w:r>
        <w:rPr>
          <w:b/>
          <w:bCs/>
        </w:rPr>
        <w:t>Course Material</w:t>
      </w:r>
    </w:p>
    <w:p w:rsidR="000E379D" w:rsidRDefault="000E379D" w:rsidP="000E379D">
      <w:pPr>
        <w:jc w:val="both"/>
      </w:pPr>
      <w:r>
        <w:t xml:space="preserve">Over twenty </w:t>
      </w:r>
      <w:hyperlink r:id="rId15" w:history="1">
        <w:r>
          <w:rPr>
            <w:rStyle w:val="Hyperlink"/>
          </w:rPr>
          <w:t>articles are available</w:t>
        </w:r>
      </w:hyperlink>
      <w:r>
        <w:t xml:space="preserve"> for teachers to use, most in English. Examples include: </w:t>
      </w:r>
      <w:r>
        <w:rPr>
          <w:i/>
          <w:iCs/>
        </w:rPr>
        <w:t>Causal Layered Analysis Deepening the Future</w:t>
      </w:r>
      <w:r>
        <w:t xml:space="preserve"> (</w:t>
      </w:r>
      <w:proofErr w:type="spellStart"/>
      <w:r>
        <w:t>Sohail</w:t>
      </w:r>
      <w:proofErr w:type="spellEnd"/>
      <w:r>
        <w:t xml:space="preserve"> </w:t>
      </w:r>
      <w:proofErr w:type="spellStart"/>
      <w:r>
        <w:t>Inayatullah</w:t>
      </w:r>
      <w:proofErr w:type="spellEnd"/>
      <w:r>
        <w:t xml:space="preserve"> 2005) </w:t>
      </w:r>
      <w:r>
        <w:rPr>
          <w:i/>
          <w:iCs/>
        </w:rPr>
        <w:t>Foresight Maturity Model</w:t>
      </w:r>
      <w:r>
        <w:t xml:space="preserve"> (Terry Grim 2009) </w:t>
      </w:r>
      <w:r>
        <w:rPr>
          <w:i/>
          <w:iCs/>
        </w:rPr>
        <w:t>Futures Studies Theories and Methods</w:t>
      </w:r>
      <w:r>
        <w:t xml:space="preserve"> (</w:t>
      </w:r>
      <w:proofErr w:type="spellStart"/>
      <w:r>
        <w:t>Sohail</w:t>
      </w:r>
      <w:proofErr w:type="spellEnd"/>
      <w:r>
        <w:t xml:space="preserve"> </w:t>
      </w:r>
      <w:proofErr w:type="spellStart"/>
      <w:r>
        <w:t>Inayatullah</w:t>
      </w:r>
      <w:proofErr w:type="spellEnd"/>
      <w:r>
        <w:t xml:space="preserve"> 2013) and </w:t>
      </w:r>
      <w:r>
        <w:rPr>
          <w:i/>
          <w:iCs/>
        </w:rPr>
        <w:t>Holistic Education and Futures Vision</w:t>
      </w:r>
      <w:r>
        <w:t>s (Jennifer M. Gidley 2002).</w:t>
      </w:r>
    </w:p>
    <w:p w:rsidR="000E379D" w:rsidRDefault="000E379D" w:rsidP="000E379D">
      <w:pPr>
        <w:jc w:val="both"/>
      </w:pPr>
    </w:p>
    <w:p w:rsidR="000E379D" w:rsidRDefault="000E379D" w:rsidP="000E379D">
      <w:pPr>
        <w:jc w:val="both"/>
      </w:pPr>
      <w:r>
        <w:t xml:space="preserve">Over twenty </w:t>
      </w:r>
      <w:hyperlink r:id="rId16" w:history="1">
        <w:r>
          <w:rPr>
            <w:rStyle w:val="Hyperlink"/>
          </w:rPr>
          <w:t>course outlines and related class materials</w:t>
        </w:r>
      </w:hyperlink>
      <w:r>
        <w:t xml:space="preserve"> are accessible, including: </w:t>
      </w:r>
      <w:r>
        <w:rPr>
          <w:i/>
          <w:iCs/>
        </w:rPr>
        <w:t>The Art of Forecasting</w:t>
      </w:r>
      <w:r>
        <w:t xml:space="preserve"> and </w:t>
      </w:r>
      <w:r>
        <w:rPr>
          <w:i/>
          <w:iCs/>
        </w:rPr>
        <w:t>International Futures</w:t>
      </w:r>
      <w:r>
        <w:t xml:space="preserve"> (Barry Hughes); </w:t>
      </w:r>
      <w:r>
        <w:rPr>
          <w:i/>
          <w:iCs/>
        </w:rPr>
        <w:t>Futures Studies</w:t>
      </w:r>
      <w:r>
        <w:t xml:space="preserve"> (Christopher Jones), </w:t>
      </w:r>
      <w:r>
        <w:rPr>
          <w:i/>
          <w:iCs/>
        </w:rPr>
        <w:t>Learning Outcomes, Certificate in Strategic Foresight Course Products, The Future; Anticipating the Future; Baseline Analysis; Change; Change Management; Planning; Visioning; and Leadership</w:t>
      </w:r>
      <w:r>
        <w:t xml:space="preserve"> (Peter Bishop, Andy Hines, University of Houston); </w:t>
      </w:r>
      <w:r>
        <w:rPr>
          <w:i/>
          <w:iCs/>
        </w:rPr>
        <w:t>Peace Education: Understanding and Negotiating Conflicts In Our Schools, Families and Communities</w:t>
      </w:r>
      <w:r>
        <w:t xml:space="preserve"> and </w:t>
      </w:r>
      <w:r>
        <w:rPr>
          <w:i/>
          <w:iCs/>
        </w:rPr>
        <w:t>Schools That Learn: Creating Futures That Matter</w:t>
      </w:r>
      <w:r>
        <w:t xml:space="preserve"> (Ivana Milosevic), </w:t>
      </w:r>
      <w:r>
        <w:rPr>
          <w:i/>
          <w:iCs/>
        </w:rPr>
        <w:t>Reform versus Strategy: Making Choices at the End of the Administrative Era</w:t>
      </w:r>
      <w:r>
        <w:t xml:space="preserve"> (Riel Miller); and </w:t>
      </w:r>
      <w:r>
        <w:rPr>
          <w:i/>
          <w:iCs/>
        </w:rPr>
        <w:t>Education and Future</w:t>
      </w:r>
      <w:r>
        <w:t xml:space="preserve"> (</w:t>
      </w:r>
      <w:proofErr w:type="spellStart"/>
      <w:r>
        <w:t>Éva</w:t>
      </w:r>
      <w:proofErr w:type="spellEnd"/>
      <w:r>
        <w:t xml:space="preserve"> </w:t>
      </w:r>
      <w:proofErr w:type="spellStart"/>
      <w:r>
        <w:t>Hideg</w:t>
      </w:r>
      <w:proofErr w:type="spellEnd"/>
      <w:r>
        <w:t xml:space="preserve"> and </w:t>
      </w:r>
      <w:proofErr w:type="spellStart"/>
      <w:r>
        <w:t>Erzsébet</w:t>
      </w:r>
      <w:proofErr w:type="spellEnd"/>
      <w:r>
        <w:t xml:space="preserve"> </w:t>
      </w:r>
      <w:proofErr w:type="spellStart"/>
      <w:r>
        <w:t>Nováky</w:t>
      </w:r>
      <w:proofErr w:type="spellEnd"/>
      <w:r>
        <w:t xml:space="preserve">, </w:t>
      </w:r>
      <w:proofErr w:type="spellStart"/>
      <w:r>
        <w:t>Corvinus</w:t>
      </w:r>
      <w:proofErr w:type="spellEnd"/>
      <w:r>
        <w:t>, University of Budapest).</w:t>
      </w:r>
    </w:p>
    <w:p w:rsidR="000E379D" w:rsidRDefault="000E379D" w:rsidP="000E379D">
      <w:pPr>
        <w:jc w:val="both"/>
      </w:pPr>
    </w:p>
    <w:p w:rsidR="000E379D" w:rsidRDefault="000E379D">
      <w:pPr>
        <w:rPr>
          <w:b/>
          <w:bCs/>
        </w:rPr>
      </w:pPr>
      <w:r>
        <w:rPr>
          <w:b/>
          <w:bCs/>
        </w:rPr>
        <w:br w:type="page"/>
      </w:r>
    </w:p>
    <w:p w:rsidR="000E379D" w:rsidRDefault="000E379D" w:rsidP="000E379D">
      <w:pPr>
        <w:jc w:val="both"/>
      </w:pPr>
      <w:r>
        <w:rPr>
          <w:b/>
          <w:bCs/>
        </w:rPr>
        <w:lastRenderedPageBreak/>
        <w:t>Futures Books and Reports</w:t>
      </w:r>
    </w:p>
    <w:p w:rsidR="000E379D" w:rsidRDefault="000E379D" w:rsidP="000E379D">
      <w:pPr>
        <w:jc w:val="both"/>
      </w:pPr>
      <w:r>
        <w:t xml:space="preserve">Over a dozen full text, </w:t>
      </w:r>
      <w:hyperlink r:id="rId17" w:history="1">
        <w:r>
          <w:rPr>
            <w:rStyle w:val="Hyperlink"/>
          </w:rPr>
          <w:t>open source books</w:t>
        </w:r>
      </w:hyperlink>
      <w:r>
        <w:t xml:space="preserve"> are available, including: </w:t>
      </w:r>
      <w:r>
        <w:rPr>
          <w:i/>
          <w:iCs/>
        </w:rPr>
        <w:t>Democracy and Futures</w:t>
      </w:r>
      <w:r>
        <w:t xml:space="preserve"> (Mika </w:t>
      </w:r>
      <w:proofErr w:type="spellStart"/>
      <w:r>
        <w:t>Mannermaa</w:t>
      </w:r>
      <w:proofErr w:type="spellEnd"/>
      <w:r>
        <w:t xml:space="preserve">, Jim Dator, and Paula </w:t>
      </w:r>
      <w:proofErr w:type="spellStart"/>
      <w:r>
        <w:t>Tiihonenv</w:t>
      </w:r>
      <w:proofErr w:type="spellEnd"/>
      <w:r>
        <w:t xml:space="preserve">, Eds.) and </w:t>
      </w:r>
      <w:r>
        <w:rPr>
          <w:i/>
          <w:iCs/>
        </w:rPr>
        <w:t xml:space="preserve">How Open </w:t>
      </w:r>
      <w:proofErr w:type="gramStart"/>
      <w:r>
        <w:rPr>
          <w:i/>
          <w:iCs/>
        </w:rPr>
        <w:t>is</w:t>
      </w:r>
      <w:proofErr w:type="gramEnd"/>
      <w:r>
        <w:rPr>
          <w:i/>
          <w:iCs/>
        </w:rPr>
        <w:t xml:space="preserve"> the Future?</w:t>
      </w:r>
      <w:r>
        <w:t xml:space="preserve"> </w:t>
      </w:r>
      <w:proofErr w:type="gramStart"/>
      <w:r>
        <w:t xml:space="preserve">(Marleen </w:t>
      </w:r>
      <w:proofErr w:type="spellStart"/>
      <w:r>
        <w:t>Wynants</w:t>
      </w:r>
      <w:proofErr w:type="spellEnd"/>
      <w:r>
        <w:t xml:space="preserve"> and Jan </w:t>
      </w:r>
      <w:proofErr w:type="spellStart"/>
      <w:r>
        <w:t>Cornelis</w:t>
      </w:r>
      <w:proofErr w:type="spellEnd"/>
      <w:r>
        <w:t xml:space="preserve"> (Eds.)</w:t>
      </w:r>
      <w:proofErr w:type="gramEnd"/>
    </w:p>
    <w:p w:rsidR="000E379D" w:rsidRDefault="000E379D" w:rsidP="000E379D">
      <w:pPr>
        <w:jc w:val="both"/>
      </w:pPr>
    </w:p>
    <w:p w:rsidR="000E379D" w:rsidRDefault="000E379D" w:rsidP="000E379D">
      <w:pPr>
        <w:jc w:val="both"/>
      </w:pPr>
      <w:r>
        <w:t xml:space="preserve">Over </w:t>
      </w:r>
      <w:hyperlink r:id="rId18" w:history="1">
        <w:r>
          <w:rPr>
            <w:rStyle w:val="Hyperlink"/>
          </w:rPr>
          <w:t>twenty reports</w:t>
        </w:r>
      </w:hyperlink>
      <w:r>
        <w:t xml:space="preserve"> from the UN and other international organizations are available, including: </w:t>
      </w:r>
      <w:r>
        <w:rPr>
          <w:i/>
          <w:iCs/>
        </w:rPr>
        <w:t>Foresight in Governments - Practices and Trends around the World</w:t>
      </w:r>
      <w:r>
        <w:t xml:space="preserve"> (</w:t>
      </w:r>
      <w:proofErr w:type="spellStart"/>
      <w:r>
        <w:t>Iana</w:t>
      </w:r>
      <w:proofErr w:type="spellEnd"/>
      <w:r>
        <w:t xml:space="preserve"> Dreyer and Gerald </w:t>
      </w:r>
      <w:proofErr w:type="spellStart"/>
      <w:r>
        <w:t>Stang</w:t>
      </w:r>
      <w:proofErr w:type="spellEnd"/>
      <w:r>
        <w:t xml:space="preserve">) and </w:t>
      </w:r>
      <w:r>
        <w:rPr>
          <w:i/>
          <w:iCs/>
        </w:rPr>
        <w:t>The World in 2025</w:t>
      </w:r>
      <w:r>
        <w:t xml:space="preserve"> (European Commission).</w:t>
      </w:r>
    </w:p>
    <w:p w:rsidR="000E379D" w:rsidRDefault="000E379D" w:rsidP="000E379D">
      <w:pPr>
        <w:jc w:val="both"/>
      </w:pPr>
    </w:p>
    <w:p w:rsidR="000E379D" w:rsidRDefault="000E379D" w:rsidP="000E379D">
      <w:pPr>
        <w:jc w:val="both"/>
      </w:pPr>
      <w:r>
        <w:rPr>
          <w:b/>
          <w:bCs/>
        </w:rPr>
        <w:t>Videos and Multi-Media Presentations</w:t>
      </w:r>
    </w:p>
    <w:p w:rsidR="000E379D" w:rsidRDefault="000E379D" w:rsidP="000E379D">
      <w:pPr>
        <w:jc w:val="both"/>
      </w:pPr>
      <w:r>
        <w:t xml:space="preserve">Over </w:t>
      </w:r>
      <w:hyperlink r:id="rId19" w:history="1">
        <w:r>
          <w:rPr>
            <w:rStyle w:val="Hyperlink"/>
          </w:rPr>
          <w:t xml:space="preserve">twenty </w:t>
        </w:r>
      </w:hyperlink>
      <w:hyperlink r:id="rId20" w:history="1">
        <w:r>
          <w:rPr>
            <w:rStyle w:val="Hyperlink"/>
          </w:rPr>
          <w:t>videos</w:t>
        </w:r>
      </w:hyperlink>
      <w:r>
        <w:t xml:space="preserve"> are available </w:t>
      </w:r>
      <w:proofErr w:type="gramStart"/>
      <w:r>
        <w:t>through two World Futures Learning Lab (LEALA).channels</w:t>
      </w:r>
      <w:proofErr w:type="gramEnd"/>
      <w:r>
        <w:t xml:space="preserve">. Titles </w:t>
      </w:r>
      <w:bookmarkStart w:id="0" w:name="_GoBack"/>
      <w:r>
        <w:t xml:space="preserve">include: </w:t>
      </w:r>
      <w:r>
        <w:rPr>
          <w:i/>
          <w:iCs/>
        </w:rPr>
        <w:t>Keynote Speech</w:t>
      </w:r>
      <w:r>
        <w:t xml:space="preserve"> at the 21st WFSF World Conference, Johan </w:t>
      </w:r>
      <w:proofErr w:type="spellStart"/>
      <w:r>
        <w:t>Galtung</w:t>
      </w:r>
      <w:proofErr w:type="spellEnd"/>
      <w:r>
        <w:t xml:space="preserve">; </w:t>
      </w:r>
      <w:proofErr w:type="gramStart"/>
      <w:r>
        <w:rPr>
          <w:i/>
          <w:iCs/>
        </w:rPr>
        <w:t>A</w:t>
      </w:r>
      <w:proofErr w:type="gramEnd"/>
      <w:r>
        <w:rPr>
          <w:i/>
          <w:iCs/>
        </w:rPr>
        <w:t xml:space="preserve"> “New Wave” Opening </w:t>
      </w:r>
      <w:bookmarkEnd w:id="0"/>
      <w:r>
        <w:rPr>
          <w:i/>
          <w:iCs/>
        </w:rPr>
        <w:t>Speech</w:t>
      </w:r>
      <w:r>
        <w:t xml:space="preserve"> at the 21st WFSF World Conference, Adrian </w:t>
      </w:r>
      <w:proofErr w:type="spellStart"/>
      <w:r>
        <w:t>Curaj</w:t>
      </w:r>
      <w:proofErr w:type="spellEnd"/>
      <w:r>
        <w:t xml:space="preserve">; </w:t>
      </w:r>
      <w:r>
        <w:rPr>
          <w:i/>
          <w:iCs/>
        </w:rPr>
        <w:t>Enlarging the Field of Futures Studies. The Emergent Discipline of Anticipation</w:t>
      </w:r>
      <w:r w:rsidR="000B1EB3">
        <w:t xml:space="preserve">, </w:t>
      </w:r>
      <w:r>
        <w:t xml:space="preserve">Riel Miller; </w:t>
      </w:r>
      <w:r>
        <w:rPr>
          <w:i/>
          <w:iCs/>
        </w:rPr>
        <w:t>Where to Tomorrow for Futures Studies</w:t>
      </w:r>
      <w:r>
        <w:t xml:space="preserve">, Jennifer M. Gidley; </w:t>
      </w:r>
      <w:r>
        <w:rPr>
          <w:i/>
          <w:iCs/>
        </w:rPr>
        <w:t>Foresight and Strategic Transformation</w:t>
      </w:r>
      <w:r>
        <w:t xml:space="preserve">, </w:t>
      </w:r>
      <w:proofErr w:type="spellStart"/>
      <w:r>
        <w:t>Sohail</w:t>
      </w:r>
      <w:proofErr w:type="spellEnd"/>
      <w:r>
        <w:t xml:space="preserve"> </w:t>
      </w:r>
      <w:proofErr w:type="spellStart"/>
      <w:r>
        <w:t>Inayatullah</w:t>
      </w:r>
      <w:proofErr w:type="spellEnd"/>
      <w:r>
        <w:t xml:space="preserve">; </w:t>
      </w:r>
      <w:r>
        <w:rPr>
          <w:i/>
          <w:iCs/>
        </w:rPr>
        <w:t>Futures Education</w:t>
      </w:r>
      <w:r>
        <w:t xml:space="preserve"> Speech at the 21st WFSF World Conference, Peter Bishop; </w:t>
      </w:r>
      <w:r>
        <w:rPr>
          <w:i/>
          <w:iCs/>
        </w:rPr>
        <w:t>Why Futures Studies?</w:t>
      </w:r>
      <w:r>
        <w:t xml:space="preserve"> An Interview with Jim Dator; </w:t>
      </w:r>
      <w:r>
        <w:rPr>
          <w:i/>
          <w:iCs/>
        </w:rPr>
        <w:t>Long Conversation</w:t>
      </w:r>
      <w:r>
        <w:t xml:space="preserve">; Pete Worden Announces 100-Year Starship; and </w:t>
      </w:r>
      <w:r>
        <w:rPr>
          <w:i/>
          <w:iCs/>
        </w:rPr>
        <w:t>Design Futures,</w:t>
      </w:r>
      <w:r>
        <w:t xml:space="preserve"> Stuart Candy.</w:t>
      </w:r>
    </w:p>
    <w:p w:rsidR="000E379D" w:rsidRDefault="000E379D" w:rsidP="000E379D">
      <w:pPr>
        <w:jc w:val="both"/>
      </w:pPr>
    </w:p>
    <w:p w:rsidR="000E379D" w:rsidRDefault="000E379D" w:rsidP="000E379D">
      <w:pPr>
        <w:jc w:val="both"/>
      </w:pPr>
      <w:r>
        <w:rPr>
          <w:b/>
          <w:bCs/>
        </w:rPr>
        <w:t>Texts Accompanying Video Resources</w:t>
      </w:r>
    </w:p>
    <w:p w:rsidR="000E379D" w:rsidRDefault="000E379D" w:rsidP="000E379D">
      <w:pPr>
        <w:jc w:val="both"/>
      </w:pPr>
      <w:r>
        <w:t xml:space="preserve">Five </w:t>
      </w:r>
      <w:hyperlink r:id="rId21" w:history="1">
        <w:r>
          <w:rPr>
            <w:rStyle w:val="Hyperlink"/>
          </w:rPr>
          <w:t>presentation slide texts</w:t>
        </w:r>
      </w:hyperlink>
      <w:r>
        <w:t xml:space="preserve"> are available: </w:t>
      </w:r>
      <w:r>
        <w:rPr>
          <w:i/>
          <w:iCs/>
        </w:rPr>
        <w:t>Evolution of Consciousness and Paradigm Change</w:t>
      </w:r>
      <w:r>
        <w:t xml:space="preserve"> and </w:t>
      </w:r>
      <w:r>
        <w:rPr>
          <w:i/>
          <w:iCs/>
        </w:rPr>
        <w:t>Where to Tomorrow for Futures Studies</w:t>
      </w:r>
      <w:r>
        <w:t xml:space="preserve"> by Jennifer M. Gidley and </w:t>
      </w:r>
      <w:r>
        <w:rPr>
          <w:i/>
          <w:iCs/>
        </w:rPr>
        <w:t>“Ignite Your Future” STEM and the World Career Discussion</w:t>
      </w:r>
      <w:r>
        <w:t>, (three lesson plans).</w:t>
      </w:r>
    </w:p>
    <w:p w:rsidR="000E379D" w:rsidRDefault="000E379D" w:rsidP="000E379D">
      <w:pPr>
        <w:jc w:val="both"/>
      </w:pPr>
    </w:p>
    <w:p w:rsidR="000E379D" w:rsidRDefault="000E379D" w:rsidP="000E379D">
      <w:pPr>
        <w:jc w:val="both"/>
      </w:pPr>
      <w:r>
        <w:rPr>
          <w:b/>
          <w:bCs/>
        </w:rPr>
        <w:t>PowerPoint Presentations</w:t>
      </w:r>
    </w:p>
    <w:p w:rsidR="000E379D" w:rsidRDefault="000E379D" w:rsidP="000E379D">
      <w:pPr>
        <w:jc w:val="both"/>
      </w:pPr>
      <w:r>
        <w:t xml:space="preserve">Three </w:t>
      </w:r>
      <w:hyperlink r:id="rId22" w:history="1">
        <w:r>
          <w:rPr>
            <w:rStyle w:val="Hyperlink"/>
          </w:rPr>
          <w:t>PowerPoint</w:t>
        </w:r>
      </w:hyperlink>
      <w:hyperlink r:id="rId23" w:history="1">
        <w:r>
          <w:rPr>
            <w:rStyle w:val="Hyperlink"/>
          </w:rPr>
          <w:t xml:space="preserve"> presentations</w:t>
        </w:r>
      </w:hyperlink>
      <w:r>
        <w:t xml:space="preserve"> are currently available, all from Jennifer M. Gidley: </w:t>
      </w:r>
      <w:r>
        <w:rPr>
          <w:i/>
          <w:iCs/>
        </w:rPr>
        <w:t>Planetary Futures for Higher Education: From Neoliberal Commodification to Global Justice</w:t>
      </w:r>
      <w:r>
        <w:t xml:space="preserve"> </w:t>
      </w:r>
      <w:r>
        <w:rPr>
          <w:i/>
          <w:iCs/>
        </w:rPr>
        <w:t>and Cultural Potential; Shifting Metaphors for Re-Imagining Post-industrial City Futures; and Megatrends of the Mind: Impact on Today’s Young People?</w:t>
      </w:r>
    </w:p>
    <w:p w:rsidR="000E379D" w:rsidRDefault="000E379D" w:rsidP="000E379D">
      <w:pPr>
        <w:jc w:val="both"/>
      </w:pPr>
    </w:p>
    <w:p w:rsidR="000E379D" w:rsidRDefault="00055E33" w:rsidP="000E379D">
      <w:pPr>
        <w:jc w:val="both"/>
      </w:pPr>
      <w:hyperlink r:id="rId24" w:history="1">
        <w:r w:rsidR="000E379D">
          <w:rPr>
            <w:rStyle w:val="Hyperlink"/>
          </w:rPr>
          <w:t>Pedagogical Games &amp; Interactive Web-Resources</w:t>
        </w:r>
      </w:hyperlink>
    </w:p>
    <w:p w:rsidR="000E379D" w:rsidRDefault="000E379D" w:rsidP="000E379D">
      <w:pPr>
        <w:jc w:val="both"/>
      </w:pPr>
    </w:p>
    <w:p w:rsidR="000E379D" w:rsidRDefault="000E379D" w:rsidP="000E379D">
      <w:pPr>
        <w:spacing w:after="120"/>
        <w:jc w:val="both"/>
      </w:pPr>
      <w:r>
        <w:t xml:space="preserve">Available is </w:t>
      </w:r>
      <w:hyperlink r:id="rId25" w:history="1">
        <w:proofErr w:type="gramStart"/>
        <w:r>
          <w:rPr>
            <w:rStyle w:val="Hyperlink"/>
          </w:rPr>
          <w:t>Gaming</w:t>
        </w:r>
        <w:proofErr w:type="gramEnd"/>
        <w:r>
          <w:rPr>
            <w:rStyle w:val="Hyperlink"/>
          </w:rPr>
          <w:t xml:space="preserve"> for a Higher Cause</w:t>
        </w:r>
      </w:hyperlink>
      <w:r>
        <w:rPr>
          <w:i/>
          <w:iCs/>
        </w:rPr>
        <w:t xml:space="preserve">, </w:t>
      </w:r>
      <w:r>
        <w:t>an</w:t>
      </w:r>
      <w:r>
        <w:rPr>
          <w:i/>
          <w:iCs/>
        </w:rPr>
        <w:t xml:space="preserve"> </w:t>
      </w:r>
      <w:r>
        <w:t>article by Tom Huston and links to eight websites:</w:t>
      </w:r>
    </w:p>
    <w:p w:rsidR="000E379D" w:rsidRDefault="00055E33" w:rsidP="000E379D">
      <w:pPr>
        <w:widowControl w:val="0"/>
        <w:numPr>
          <w:ilvl w:val="0"/>
          <w:numId w:val="1"/>
        </w:numPr>
        <w:suppressAutoHyphens/>
        <w:spacing w:after="120"/>
        <w:jc w:val="both"/>
      </w:pPr>
      <w:hyperlink r:id="rId26" w:history="1">
        <w:r w:rsidR="000E379D">
          <w:rPr>
            <w:rStyle w:val="Hyperlink"/>
          </w:rPr>
          <w:t>CYBERHERO LEAGUE</w:t>
        </w:r>
      </w:hyperlink>
      <w:r w:rsidR="000E379D">
        <w:t xml:space="preserve"> is an interactive mobile gaming adventure where players learn about global challenges while training to become real world heroes.</w:t>
      </w:r>
    </w:p>
    <w:p w:rsidR="000E379D" w:rsidRDefault="00055E33" w:rsidP="000E379D">
      <w:pPr>
        <w:widowControl w:val="0"/>
        <w:numPr>
          <w:ilvl w:val="0"/>
          <w:numId w:val="1"/>
        </w:numPr>
        <w:suppressAutoHyphens/>
        <w:spacing w:after="120"/>
        <w:jc w:val="both"/>
      </w:pPr>
      <w:hyperlink r:id="rId27" w:history="1">
        <w:r w:rsidR="000E379D">
          <w:rPr>
            <w:rStyle w:val="Hyperlink"/>
          </w:rPr>
          <w:t>Personal Futures Network</w:t>
        </w:r>
      </w:hyperlink>
      <w:r w:rsidR="000E379D">
        <w:t xml:space="preserve"> is a website and workbook from Verne Wheelwright that helps people learn about and plan for their personal futures.</w:t>
      </w:r>
    </w:p>
    <w:p w:rsidR="000E379D" w:rsidRDefault="00055E33" w:rsidP="000E379D">
      <w:pPr>
        <w:widowControl w:val="0"/>
        <w:numPr>
          <w:ilvl w:val="0"/>
          <w:numId w:val="1"/>
        </w:numPr>
        <w:suppressAutoHyphens/>
        <w:spacing w:after="120"/>
        <w:jc w:val="both"/>
      </w:pPr>
      <w:hyperlink r:id="rId28" w:history="1">
        <w:r w:rsidR="000E379D">
          <w:rPr>
            <w:rStyle w:val="Hyperlink"/>
          </w:rPr>
          <w:t>2020 Energy</w:t>
        </w:r>
      </w:hyperlink>
      <w:r w:rsidR="000E379D">
        <w:t xml:space="preserve"> is a serious and fun game about energy efficiency, renewable energy and sustainable development especially aimed at reaching a 14-18 year old demographic.</w:t>
      </w:r>
    </w:p>
    <w:p w:rsidR="000E379D" w:rsidRDefault="00055E33" w:rsidP="000E379D">
      <w:pPr>
        <w:widowControl w:val="0"/>
        <w:numPr>
          <w:ilvl w:val="0"/>
          <w:numId w:val="1"/>
        </w:numPr>
        <w:suppressAutoHyphens/>
        <w:spacing w:after="120"/>
        <w:jc w:val="both"/>
      </w:pPr>
      <w:hyperlink r:id="rId29" w:history="1">
        <w:r w:rsidR="000E379D">
          <w:rPr>
            <w:rStyle w:val="Hyperlink"/>
          </w:rPr>
          <w:t>"Ignite Your Future"</w:t>
        </w:r>
      </w:hyperlink>
      <w:r w:rsidR="000E379D">
        <w:t xml:space="preserve"> is a five minute long career guidance video and supporting lesson plans for pupils, especially secondary school students.</w:t>
      </w:r>
    </w:p>
    <w:p w:rsidR="000E379D" w:rsidRDefault="00055E33" w:rsidP="000E379D">
      <w:pPr>
        <w:widowControl w:val="0"/>
        <w:numPr>
          <w:ilvl w:val="0"/>
          <w:numId w:val="1"/>
        </w:numPr>
        <w:suppressAutoHyphens/>
        <w:spacing w:after="120"/>
        <w:jc w:val="both"/>
      </w:pPr>
      <w:hyperlink r:id="rId30" w:history="1">
        <w:proofErr w:type="spellStart"/>
        <w:r w:rsidR="000E379D">
          <w:rPr>
            <w:rStyle w:val="Hyperlink"/>
          </w:rPr>
          <w:t>Xplore</w:t>
        </w:r>
        <w:proofErr w:type="spellEnd"/>
        <w:r w:rsidR="000E379D">
          <w:rPr>
            <w:rStyle w:val="Hyperlink"/>
          </w:rPr>
          <w:t xml:space="preserve"> Malaria</w:t>
        </w:r>
      </w:hyperlink>
      <w:r w:rsidR="000E379D">
        <w:t xml:space="preserve"> examines how to achieve a malaria-free world using games, videos and virtual experiments. The ethical, legal and social implications of malaria research are revealed through the process.</w:t>
      </w:r>
    </w:p>
    <w:p w:rsidR="000E379D" w:rsidRDefault="00055E33" w:rsidP="000E379D">
      <w:pPr>
        <w:widowControl w:val="0"/>
        <w:numPr>
          <w:ilvl w:val="0"/>
          <w:numId w:val="1"/>
        </w:numPr>
        <w:suppressAutoHyphens/>
        <w:spacing w:after="120"/>
        <w:jc w:val="both"/>
      </w:pPr>
      <w:hyperlink r:id="rId31" w:history="1">
        <w:r w:rsidR="000E379D">
          <w:rPr>
            <w:rStyle w:val="Hyperlink"/>
          </w:rPr>
          <w:t xml:space="preserve">La </w:t>
        </w:r>
        <w:proofErr w:type="spellStart"/>
        <w:r w:rsidR="000E379D">
          <w:rPr>
            <w:rStyle w:val="Hyperlink"/>
          </w:rPr>
          <w:t>Maison</w:t>
        </w:r>
        <w:proofErr w:type="spellEnd"/>
        <w:r w:rsidR="000E379D">
          <w:rPr>
            <w:rStyle w:val="Hyperlink"/>
          </w:rPr>
          <w:t xml:space="preserve"> positive</w:t>
        </w:r>
      </w:hyperlink>
      <w:r w:rsidR="000E379D">
        <w:t xml:space="preserve"> is a French film about the construction of a positive (zero) energy home by vocational college students that illustrates sustainable development as well as multidisciplinary behavior in education.</w:t>
      </w:r>
    </w:p>
    <w:p w:rsidR="000E379D" w:rsidRDefault="00055E33" w:rsidP="000E379D">
      <w:pPr>
        <w:widowControl w:val="0"/>
        <w:numPr>
          <w:ilvl w:val="0"/>
          <w:numId w:val="1"/>
        </w:numPr>
        <w:suppressAutoHyphens/>
        <w:spacing w:after="120"/>
        <w:jc w:val="both"/>
      </w:pPr>
      <w:hyperlink r:id="rId32" w:history="1">
        <w:r w:rsidR="000E379D">
          <w:rPr>
            <w:rStyle w:val="Hyperlink"/>
          </w:rPr>
          <w:t>Our World</w:t>
        </w:r>
      </w:hyperlink>
      <w:r w:rsidR="000E379D">
        <w:t xml:space="preserve"> is a web magazine hosting video briefs, articles, debates, photo essays and public events. </w:t>
      </w:r>
      <w:proofErr w:type="gramStart"/>
      <w:r w:rsidR="000E379D">
        <w:t>from</w:t>
      </w:r>
      <w:proofErr w:type="gramEnd"/>
      <w:r w:rsidR="000E379D">
        <w:t xml:space="preserve"> the United Nations University (UNU). Subject categories are Science and Technology, Development and Society, Peace and Security, Humanitarian Affairs and Human Rights. Knowing the changes taking place in these categories stimulates transitional plans for futures, e.g., a low carbon future society.</w:t>
      </w:r>
    </w:p>
    <w:p w:rsidR="000E379D" w:rsidRDefault="00055E33" w:rsidP="000E379D">
      <w:pPr>
        <w:widowControl w:val="0"/>
        <w:numPr>
          <w:ilvl w:val="0"/>
          <w:numId w:val="1"/>
        </w:numPr>
        <w:suppressAutoHyphens/>
        <w:spacing w:after="120"/>
        <w:jc w:val="both"/>
      </w:pPr>
      <w:hyperlink r:id="rId33" w:history="1">
        <w:r w:rsidR="000E379D">
          <w:rPr>
            <w:rStyle w:val="Hyperlink"/>
          </w:rPr>
          <w:t>The Wisdom Years</w:t>
        </w:r>
      </w:hyperlink>
      <w:r w:rsidR="000E379D">
        <w:t xml:space="preserve"> is an e-case study and video documentary exploring the issue of ageing in Japan. How science can prolong human life and how health and activity are tied to social ties </w:t>
      </w:r>
      <w:proofErr w:type="gramStart"/>
      <w:r w:rsidR="000E379D">
        <w:t>are</w:t>
      </w:r>
      <w:proofErr w:type="gramEnd"/>
      <w:r w:rsidR="000E379D">
        <w:t xml:space="preserve"> researched. Incorporating social determinants of health in policy-oriented interventions is advocated for governments. Ageing is an understandable and personally-relevant futures topic: the future is where all people will spend their remaining time.</w:t>
      </w:r>
    </w:p>
    <w:p w:rsidR="00FB41FA" w:rsidRDefault="00FB41FA" w:rsidP="00FB41FA"/>
    <w:p w:rsidR="00C30CB4" w:rsidRDefault="00C30CB4" w:rsidP="00FB41FA"/>
    <w:p w:rsidR="00C30CB4" w:rsidRDefault="00C30CB4">
      <w:r>
        <w:br w:type="page"/>
      </w:r>
    </w:p>
    <w:sectPr w:rsidR="00C30CB4" w:rsidSect="00C30CB4">
      <w:footerReference w:type="default" r:id="rId34"/>
      <w:headerReference w:type="first" r:id="rId35"/>
      <w:footerReference w:type="first" r:id="rId36"/>
      <w:pgSz w:w="12240" w:h="15840"/>
      <w:pgMar w:top="2104"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5E33" w:rsidRDefault="00055E33" w:rsidP="00CA6A0F">
      <w:r>
        <w:separator/>
      </w:r>
    </w:p>
  </w:endnote>
  <w:endnote w:type="continuationSeparator" w:id="0">
    <w:p w:rsidR="00055E33" w:rsidRDefault="00055E33" w:rsidP="00CA6A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OpenSymbol">
    <w:altName w:val="Arial Unicode MS"/>
    <w:charset w:val="00"/>
    <w:family w:val="auto"/>
    <w:pitch w:val="default"/>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BD6" w:rsidRPr="00D6092A" w:rsidRDefault="00D6092A" w:rsidP="00D6092A">
    <w:pPr>
      <w:pStyle w:val="Footer"/>
      <w:tabs>
        <w:tab w:val="clear" w:pos="4680"/>
        <w:tab w:val="center" w:pos="-1260"/>
      </w:tabs>
      <w:rPr>
        <w:rFonts w:ascii="Arial" w:hAnsi="Arial" w:cs="Arial"/>
        <w:b/>
        <w:i/>
        <w:color w:val="0E7772"/>
      </w:rPr>
    </w:pPr>
    <w:r w:rsidRPr="00A329A5">
      <w:rPr>
        <w:rStyle w:val="IntenseQuoteChar"/>
        <w:noProof/>
      </w:rPr>
      <mc:AlternateContent>
        <mc:Choice Requires="wps">
          <w:drawing>
            <wp:anchor distT="0" distB="0" distL="114300" distR="114300" simplePos="0" relativeHeight="251664384" behindDoc="0" locked="0" layoutInCell="1" allowOverlap="1" wp14:anchorId="49A1DFB6" wp14:editId="6210135F">
              <wp:simplePos x="0" y="0"/>
              <wp:positionH relativeFrom="column">
                <wp:posOffset>19878</wp:posOffset>
              </wp:positionH>
              <wp:positionV relativeFrom="paragraph">
                <wp:posOffset>-167336</wp:posOffset>
              </wp:positionV>
              <wp:extent cx="5923722" cy="0"/>
              <wp:effectExtent l="0" t="0" r="20320" b="19050"/>
              <wp:wrapNone/>
              <wp:docPr id="5" name="Straight Connector 5"/>
              <wp:cNvGraphicFramePr/>
              <a:graphic xmlns:a="http://schemas.openxmlformats.org/drawingml/2006/main">
                <a:graphicData uri="http://schemas.microsoft.com/office/word/2010/wordprocessingShape">
                  <wps:wsp>
                    <wps:cNvCnPr/>
                    <wps:spPr>
                      <a:xfrm>
                        <a:off x="0" y="0"/>
                        <a:ext cx="5923722" cy="0"/>
                      </a:xfrm>
                      <a:prstGeom prst="line">
                        <a:avLst/>
                      </a:prstGeom>
                      <a:ln w="19050">
                        <a:solidFill>
                          <a:srgbClr val="0E777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55pt,-13.2pt" to="468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" strokecolor="#0e7772" strokeweight="1.5pt"/>
          </w:pict>
        </mc:Fallback>
      </mc:AlternateContent>
    </w:r>
    <w:hyperlink r:id="rId1" w:history="1">
      <w:r w:rsidRPr="00A329A5">
        <w:rPr>
          <w:rStyle w:val="IntenseQuoteChar"/>
        </w:rPr>
        <w:t>www.TeachTheFuture.org</w:t>
      </w:r>
    </w:hyperlink>
    <w:r>
      <w:rPr>
        <w:rFonts w:ascii="Arial" w:hAnsi="Arial" w:cs="Arial"/>
        <w:b/>
        <w:i/>
        <w:color w:val="0E7772"/>
      </w:rPr>
      <w:tab/>
    </w:r>
    <w:r w:rsidR="00E23BEE" w:rsidRPr="00A329A5">
      <w:rPr>
        <w:rFonts w:asciiTheme="minorHAnsi" w:hAnsiTheme="minorHAnsi" w:cs="Arial"/>
        <w:b/>
        <w:i/>
        <w:color w:val="0E7772"/>
      </w:rPr>
      <w:t xml:space="preserve">Page </w:t>
    </w:r>
    <w:r w:rsidR="00E23BEE" w:rsidRPr="00A329A5">
      <w:rPr>
        <w:rFonts w:asciiTheme="minorHAnsi" w:hAnsiTheme="minorHAnsi" w:cs="Arial"/>
        <w:b/>
        <w:i/>
        <w:color w:val="0E7772"/>
      </w:rPr>
      <w:fldChar w:fldCharType="begin"/>
    </w:r>
    <w:r w:rsidR="00E23BEE" w:rsidRPr="00A329A5">
      <w:rPr>
        <w:rFonts w:asciiTheme="minorHAnsi" w:hAnsiTheme="minorHAnsi" w:cs="Arial"/>
        <w:b/>
        <w:i/>
        <w:color w:val="0E7772"/>
      </w:rPr>
      <w:instrText xml:space="preserve"> PAGE   \* MERGEFORMAT </w:instrText>
    </w:r>
    <w:r w:rsidR="00E23BEE" w:rsidRPr="00A329A5">
      <w:rPr>
        <w:rFonts w:asciiTheme="minorHAnsi" w:hAnsiTheme="minorHAnsi" w:cs="Arial"/>
        <w:b/>
        <w:i/>
        <w:color w:val="0E7772"/>
      </w:rPr>
      <w:fldChar w:fldCharType="separate"/>
    </w:r>
    <w:r w:rsidR="000B1EB3">
      <w:rPr>
        <w:rFonts w:asciiTheme="minorHAnsi" w:hAnsiTheme="minorHAnsi" w:cs="Arial"/>
        <w:b/>
        <w:i/>
        <w:noProof/>
        <w:color w:val="0E7772"/>
      </w:rPr>
      <w:t>3</w:t>
    </w:r>
    <w:r w:rsidR="00E23BEE" w:rsidRPr="00A329A5">
      <w:rPr>
        <w:rFonts w:asciiTheme="minorHAnsi" w:hAnsiTheme="minorHAnsi" w:cs="Arial"/>
        <w:b/>
        <w:i/>
        <w:noProof/>
        <w:color w:val="0E777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76C9" w:rsidRPr="00D6092A" w:rsidRDefault="00D6092A" w:rsidP="00175BD6">
    <w:pPr>
      <w:pStyle w:val="Footer"/>
      <w:tabs>
        <w:tab w:val="clear" w:pos="4680"/>
        <w:tab w:val="center" w:pos="-1260"/>
      </w:tabs>
      <w:rPr>
        <w:rFonts w:ascii="Arial" w:hAnsi="Arial" w:cs="Arial"/>
        <w:b/>
        <w:i/>
        <w:color w:val="0E7772"/>
      </w:rPr>
    </w:pPr>
    <w:r>
      <w:rPr>
        <w:rFonts w:ascii="Arial" w:hAnsi="Arial" w:cs="Arial"/>
        <w:b/>
        <w:i/>
        <w:noProof/>
        <w:color w:val="0E7772"/>
      </w:rPr>
      <mc:AlternateContent>
        <mc:Choice Requires="wps">
          <w:drawing>
            <wp:anchor distT="0" distB="0" distL="114300" distR="114300" simplePos="0" relativeHeight="251661312" behindDoc="0" locked="0" layoutInCell="1" allowOverlap="1" wp14:anchorId="7879822F" wp14:editId="688443ED">
              <wp:simplePos x="0" y="0"/>
              <wp:positionH relativeFrom="column">
                <wp:posOffset>19878</wp:posOffset>
              </wp:positionH>
              <wp:positionV relativeFrom="paragraph">
                <wp:posOffset>-167336</wp:posOffset>
              </wp:positionV>
              <wp:extent cx="5923722" cy="0"/>
              <wp:effectExtent l="0" t="0" r="20320" b="19050"/>
              <wp:wrapNone/>
              <wp:docPr id="3" name="Straight Connector 3"/>
              <wp:cNvGraphicFramePr/>
              <a:graphic xmlns:a="http://schemas.openxmlformats.org/drawingml/2006/main">
                <a:graphicData uri="http://schemas.microsoft.com/office/word/2010/wordprocessingShape">
                  <wps:wsp>
                    <wps:cNvCnPr/>
                    <wps:spPr>
                      <a:xfrm>
                        <a:off x="0" y="0"/>
                        <a:ext cx="5923722" cy="0"/>
                      </a:xfrm>
                      <a:prstGeom prst="line">
                        <a:avLst/>
                      </a:prstGeom>
                      <a:ln w="19050">
                        <a:solidFill>
                          <a:srgbClr val="0E777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55pt,-13.2pt" to="468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" strokecolor="#0e7772" strokeweight="1.5pt"/>
          </w:pict>
        </mc:Fallback>
      </mc:AlternateContent>
    </w:r>
    <w:r w:rsidR="00175BD6" w:rsidRPr="00D6092A">
      <w:rPr>
        <w:rFonts w:ascii="Arial" w:hAnsi="Arial" w:cs="Arial"/>
        <w:b/>
        <w:i/>
        <w:noProof/>
        <w:color w:val="0E7772"/>
      </w:rPr>
      <w:drawing>
        <wp:anchor distT="0" distB="0" distL="114300" distR="114300" simplePos="0" relativeHeight="251660288" behindDoc="0" locked="0" layoutInCell="1" allowOverlap="1" wp14:anchorId="196BAF6B" wp14:editId="53354A67">
          <wp:simplePos x="0" y="0"/>
          <wp:positionH relativeFrom="column">
            <wp:align>right</wp:align>
          </wp:positionH>
          <wp:positionV relativeFrom="paragraph">
            <wp:posOffset>-91440</wp:posOffset>
          </wp:positionV>
          <wp:extent cx="841248" cy="292608"/>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ive Commons.png"/>
                  <pic:cNvPicPr/>
                </pic:nvPicPr>
                <pic:blipFill>
                  <a:blip r:embed="rId1">
                    <a:extLst>
                      <a:ext uri="{28A0092B-C50C-407E-A947-70E740481C1C}">
                        <a14:useLocalDpi xmlns:a14="http://schemas.microsoft.com/office/drawing/2010/main" val="0"/>
                      </a:ext>
                    </a:extLst>
                  </a:blip>
                  <a:stretch>
                    <a:fillRect/>
                  </a:stretch>
                </pic:blipFill>
                <pic:spPr>
                  <a:xfrm>
                    <a:off x="0" y="0"/>
                    <a:ext cx="841248" cy="292608"/>
                  </a:xfrm>
                  <a:prstGeom prst="rect">
                    <a:avLst/>
                  </a:prstGeom>
                </pic:spPr>
              </pic:pic>
            </a:graphicData>
          </a:graphic>
          <wp14:sizeRelH relativeFrom="page">
            <wp14:pctWidth>0</wp14:pctWidth>
          </wp14:sizeRelH>
          <wp14:sizeRelV relativeFrom="page">
            <wp14:pctHeight>0</wp14:pctHeight>
          </wp14:sizeRelV>
        </wp:anchor>
      </w:drawing>
    </w:r>
    <w:r w:rsidR="00AB76C9" w:rsidRPr="00D6092A">
      <w:rPr>
        <w:rFonts w:ascii="Arial" w:hAnsi="Arial" w:cs="Arial"/>
        <w:b/>
        <w:i/>
        <w:color w:val="0E7772"/>
      </w:rPr>
      <w:t>www.TeachTheFuture.org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5E33" w:rsidRDefault="00055E33" w:rsidP="00CA6A0F">
      <w:r>
        <w:separator/>
      </w:r>
    </w:p>
  </w:footnote>
  <w:footnote w:type="continuationSeparator" w:id="0">
    <w:p w:rsidR="00055E33" w:rsidRDefault="00055E33" w:rsidP="00CA6A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76C9" w:rsidRDefault="00AB76C9">
    <w:pPr>
      <w:pStyle w:val="Header"/>
    </w:pPr>
    <w:r>
      <w:rPr>
        <w:noProof/>
      </w:rPr>
      <w:drawing>
        <wp:anchor distT="0" distB="0" distL="114300" distR="114300" simplePos="0" relativeHeight="251659264" behindDoc="1" locked="0" layoutInCell="1" allowOverlap="1" wp14:anchorId="066EA3C8" wp14:editId="5D8DD86A">
          <wp:simplePos x="0" y="0"/>
          <wp:positionH relativeFrom="page">
            <wp:align>center</wp:align>
          </wp:positionH>
          <wp:positionV relativeFrom="paragraph">
            <wp:posOffset>-37890</wp:posOffset>
          </wp:positionV>
          <wp:extent cx="2167128" cy="969264"/>
          <wp:effectExtent l="0" t="0" r="5080" b="254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Future_LetterheadHeader 06.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128" cy="969264"/>
                  </a:xfrm>
                  <a:prstGeom prst="rect">
                    <a:avLst/>
                  </a:prstGeom>
                </pic:spPr>
              </pic:pic>
            </a:graphicData>
          </a:graphic>
          <wp14:sizeRelH relativeFrom="margin">
            <wp14:pctWidth>0</wp14:pctWidth>
          </wp14:sizeRelH>
          <wp14:sizeRelV relativeFrom="margin">
            <wp14:pctHeight>0</wp14:pctHeight>
          </wp14:sizeRelV>
        </wp:anchor>
      </w:drawing>
    </w:r>
  </w:p>
  <w:p w:rsidR="00C30CB4" w:rsidRDefault="00C30CB4">
    <w:pPr>
      <w:pStyle w:val="Header"/>
    </w:pPr>
  </w:p>
  <w:p w:rsidR="00C30CB4" w:rsidRDefault="00C30CB4">
    <w:pPr>
      <w:pStyle w:val="Header"/>
    </w:pPr>
  </w:p>
  <w:p w:rsidR="00C30CB4" w:rsidRDefault="00C30CB4">
    <w:pPr>
      <w:pStyle w:val="Header"/>
    </w:pPr>
  </w:p>
  <w:p w:rsidR="00C30CB4" w:rsidRDefault="00C30CB4">
    <w:pPr>
      <w:pStyle w:val="Header"/>
    </w:pPr>
  </w:p>
  <w:p w:rsidR="00C30CB4" w:rsidRDefault="00C30CB4">
    <w:pPr>
      <w:pStyle w:val="Header"/>
    </w:pPr>
  </w:p>
  <w:p w:rsidR="00C30CB4" w:rsidRDefault="00C30CB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1"/>
  <w:displayBackgroundShap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379D"/>
    <w:rsid w:val="00055E33"/>
    <w:rsid w:val="000B1EB3"/>
    <w:rsid w:val="000E379D"/>
    <w:rsid w:val="00175BD6"/>
    <w:rsid w:val="002E6A75"/>
    <w:rsid w:val="003F61C0"/>
    <w:rsid w:val="005A3872"/>
    <w:rsid w:val="006508D8"/>
    <w:rsid w:val="006533E7"/>
    <w:rsid w:val="006C14D8"/>
    <w:rsid w:val="008033A7"/>
    <w:rsid w:val="008210BF"/>
    <w:rsid w:val="008F4FDB"/>
    <w:rsid w:val="00A0733B"/>
    <w:rsid w:val="00A329A5"/>
    <w:rsid w:val="00A37578"/>
    <w:rsid w:val="00AB4BB1"/>
    <w:rsid w:val="00AB76C9"/>
    <w:rsid w:val="00C13C79"/>
    <w:rsid w:val="00C154EA"/>
    <w:rsid w:val="00C30CB4"/>
    <w:rsid w:val="00CA6A0F"/>
    <w:rsid w:val="00CC1CE5"/>
    <w:rsid w:val="00D6092A"/>
    <w:rsid w:val="00DB4D45"/>
    <w:rsid w:val="00E23BEE"/>
    <w:rsid w:val="00E3227F"/>
    <w:rsid w:val="00E379BA"/>
    <w:rsid w:val="00FB41FA"/>
    <w:rsid w:val="00FD34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41FA"/>
    <w:rPr>
      <w:rFonts w:asciiTheme="minorHAnsi" w:eastAsia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6A0F"/>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A6A0F"/>
    <w:rPr>
      <w:rFonts w:ascii="Tahoma" w:hAnsi="Tahoma" w:cs="Tahoma"/>
      <w:sz w:val="16"/>
      <w:szCs w:val="16"/>
    </w:rPr>
  </w:style>
  <w:style w:type="paragraph" w:styleId="Header">
    <w:name w:val="header"/>
    <w:basedOn w:val="Normal"/>
    <w:link w:val="HeaderChar"/>
    <w:uiPriority w:val="99"/>
    <w:unhideWhenUsed/>
    <w:rsid w:val="00CA6A0F"/>
    <w:pPr>
      <w:tabs>
        <w:tab w:val="center" w:pos="4680"/>
        <w:tab w:val="right" w:pos="9360"/>
      </w:tabs>
    </w:pPr>
    <w:rPr>
      <w:rFonts w:ascii="Calibri" w:eastAsia="Calibri" w:hAnsi="Calibri" w:cs="Times New Roman"/>
    </w:rPr>
  </w:style>
  <w:style w:type="character" w:customStyle="1" w:styleId="HeaderChar">
    <w:name w:val="Header Char"/>
    <w:basedOn w:val="DefaultParagraphFont"/>
    <w:link w:val="Header"/>
    <w:uiPriority w:val="99"/>
    <w:rsid w:val="00CA6A0F"/>
    <w:rPr>
      <w:sz w:val="22"/>
      <w:szCs w:val="22"/>
    </w:rPr>
  </w:style>
  <w:style w:type="paragraph" w:styleId="Footer">
    <w:name w:val="footer"/>
    <w:basedOn w:val="Normal"/>
    <w:link w:val="FooterChar"/>
    <w:uiPriority w:val="99"/>
    <w:unhideWhenUsed/>
    <w:rsid w:val="00CA6A0F"/>
    <w:pPr>
      <w:tabs>
        <w:tab w:val="center" w:pos="4680"/>
        <w:tab w:val="right" w:pos="9360"/>
      </w:tabs>
    </w:pPr>
    <w:rPr>
      <w:rFonts w:ascii="Calibri" w:eastAsia="Calibri" w:hAnsi="Calibri" w:cs="Times New Roman"/>
    </w:rPr>
  </w:style>
  <w:style w:type="character" w:customStyle="1" w:styleId="FooterChar">
    <w:name w:val="Footer Char"/>
    <w:basedOn w:val="DefaultParagraphFont"/>
    <w:link w:val="Footer"/>
    <w:uiPriority w:val="99"/>
    <w:rsid w:val="00CA6A0F"/>
    <w:rPr>
      <w:sz w:val="22"/>
      <w:szCs w:val="22"/>
    </w:rPr>
  </w:style>
  <w:style w:type="character" w:styleId="Hyperlink">
    <w:name w:val="Hyperlink"/>
    <w:basedOn w:val="DefaultParagraphFont"/>
    <w:unhideWhenUsed/>
    <w:rsid w:val="00FB41FA"/>
    <w:rPr>
      <w:color w:val="0000FF" w:themeColor="hyperlink"/>
      <w:u w:val="single"/>
    </w:rPr>
  </w:style>
  <w:style w:type="paragraph" w:styleId="IntenseQuote">
    <w:name w:val="Intense Quote"/>
    <w:basedOn w:val="Normal"/>
    <w:next w:val="Normal"/>
    <w:link w:val="IntenseQuoteChar"/>
    <w:uiPriority w:val="30"/>
    <w:qFormat/>
    <w:rsid w:val="00A329A5"/>
    <w:pPr>
      <w:pBdr>
        <w:bottom w:val="single" w:sz="4" w:space="4" w:color="4F81BD" w:themeColor="accent1"/>
      </w:pBdr>
      <w:spacing w:before="200" w:after="280"/>
      <w:ind w:left="936" w:right="936"/>
    </w:pPr>
    <w:rPr>
      <w:b/>
      <w:bCs/>
      <w:i/>
      <w:iCs/>
      <w:color w:val="0E7772"/>
    </w:rPr>
  </w:style>
  <w:style w:type="character" w:customStyle="1" w:styleId="IntenseQuoteChar">
    <w:name w:val="Intense Quote Char"/>
    <w:basedOn w:val="DefaultParagraphFont"/>
    <w:link w:val="IntenseQuote"/>
    <w:uiPriority w:val="30"/>
    <w:rsid w:val="00A329A5"/>
    <w:rPr>
      <w:rFonts w:asciiTheme="minorHAnsi" w:eastAsiaTheme="minorHAnsi" w:hAnsiTheme="minorHAnsi" w:cstheme="minorBidi"/>
      <w:b/>
      <w:bCs/>
      <w:i/>
      <w:iCs/>
      <w:color w:val="0E7772"/>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41FA"/>
    <w:rPr>
      <w:rFonts w:asciiTheme="minorHAnsi" w:eastAsia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6A0F"/>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A6A0F"/>
    <w:rPr>
      <w:rFonts w:ascii="Tahoma" w:hAnsi="Tahoma" w:cs="Tahoma"/>
      <w:sz w:val="16"/>
      <w:szCs w:val="16"/>
    </w:rPr>
  </w:style>
  <w:style w:type="paragraph" w:styleId="Header">
    <w:name w:val="header"/>
    <w:basedOn w:val="Normal"/>
    <w:link w:val="HeaderChar"/>
    <w:uiPriority w:val="99"/>
    <w:unhideWhenUsed/>
    <w:rsid w:val="00CA6A0F"/>
    <w:pPr>
      <w:tabs>
        <w:tab w:val="center" w:pos="4680"/>
        <w:tab w:val="right" w:pos="9360"/>
      </w:tabs>
    </w:pPr>
    <w:rPr>
      <w:rFonts w:ascii="Calibri" w:eastAsia="Calibri" w:hAnsi="Calibri" w:cs="Times New Roman"/>
    </w:rPr>
  </w:style>
  <w:style w:type="character" w:customStyle="1" w:styleId="HeaderChar">
    <w:name w:val="Header Char"/>
    <w:basedOn w:val="DefaultParagraphFont"/>
    <w:link w:val="Header"/>
    <w:uiPriority w:val="99"/>
    <w:rsid w:val="00CA6A0F"/>
    <w:rPr>
      <w:sz w:val="22"/>
      <w:szCs w:val="22"/>
    </w:rPr>
  </w:style>
  <w:style w:type="paragraph" w:styleId="Footer">
    <w:name w:val="footer"/>
    <w:basedOn w:val="Normal"/>
    <w:link w:val="FooterChar"/>
    <w:uiPriority w:val="99"/>
    <w:unhideWhenUsed/>
    <w:rsid w:val="00CA6A0F"/>
    <w:pPr>
      <w:tabs>
        <w:tab w:val="center" w:pos="4680"/>
        <w:tab w:val="right" w:pos="9360"/>
      </w:tabs>
    </w:pPr>
    <w:rPr>
      <w:rFonts w:ascii="Calibri" w:eastAsia="Calibri" w:hAnsi="Calibri" w:cs="Times New Roman"/>
    </w:rPr>
  </w:style>
  <w:style w:type="character" w:customStyle="1" w:styleId="FooterChar">
    <w:name w:val="Footer Char"/>
    <w:basedOn w:val="DefaultParagraphFont"/>
    <w:link w:val="Footer"/>
    <w:uiPriority w:val="99"/>
    <w:rsid w:val="00CA6A0F"/>
    <w:rPr>
      <w:sz w:val="22"/>
      <w:szCs w:val="22"/>
    </w:rPr>
  </w:style>
  <w:style w:type="character" w:styleId="Hyperlink">
    <w:name w:val="Hyperlink"/>
    <w:basedOn w:val="DefaultParagraphFont"/>
    <w:unhideWhenUsed/>
    <w:rsid w:val="00FB41FA"/>
    <w:rPr>
      <w:color w:val="0000FF" w:themeColor="hyperlink"/>
      <w:u w:val="single"/>
    </w:rPr>
  </w:style>
  <w:style w:type="paragraph" w:styleId="IntenseQuote">
    <w:name w:val="Intense Quote"/>
    <w:basedOn w:val="Normal"/>
    <w:next w:val="Normal"/>
    <w:link w:val="IntenseQuoteChar"/>
    <w:uiPriority w:val="30"/>
    <w:qFormat/>
    <w:rsid w:val="00A329A5"/>
    <w:pPr>
      <w:pBdr>
        <w:bottom w:val="single" w:sz="4" w:space="4" w:color="4F81BD" w:themeColor="accent1"/>
      </w:pBdr>
      <w:spacing w:before="200" w:after="280"/>
      <w:ind w:left="936" w:right="936"/>
    </w:pPr>
    <w:rPr>
      <w:b/>
      <w:bCs/>
      <w:i/>
      <w:iCs/>
      <w:color w:val="0E7772"/>
    </w:rPr>
  </w:style>
  <w:style w:type="character" w:customStyle="1" w:styleId="IntenseQuoteChar">
    <w:name w:val="Intense Quote Char"/>
    <w:basedOn w:val="DefaultParagraphFont"/>
    <w:link w:val="IntenseQuote"/>
    <w:uiPriority w:val="30"/>
    <w:rsid w:val="00A329A5"/>
    <w:rPr>
      <w:rFonts w:asciiTheme="minorHAnsi" w:eastAsiaTheme="minorHAnsi" w:hAnsiTheme="minorHAnsi" w:cstheme="minorBidi"/>
      <w:b/>
      <w:bCs/>
      <w:i/>
      <w:iCs/>
      <w:color w:val="0E777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wfsf.org/images/GIDLEY_BATEMAN_and_SMITH_2004_Futures_in_Education.pdf" TargetMode="External"/><Relationship Id="rId18" Type="http://schemas.openxmlformats.org/officeDocument/2006/relationships/hyperlink" Target="http://www.wfsf.org/resources/pedagogical-resources/reports-by-un-and-other-international-organisations" TargetMode="External"/><Relationship Id="rId26" Type="http://schemas.openxmlformats.org/officeDocument/2006/relationships/hyperlink" Target="http://cyberheroleague.com/" TargetMode="External"/><Relationship Id="rId3" Type="http://schemas.openxmlformats.org/officeDocument/2006/relationships/styles" Target="styles.xml"/><Relationship Id="rId21" Type="http://schemas.openxmlformats.org/officeDocument/2006/relationships/hyperlink" Target="http://www.wfsf.org/resources/pedagogical-resources/texts-accompanying-video-resources"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wfsf.org/resources/pedagogical-resources/bibliographies" TargetMode="External"/><Relationship Id="rId17" Type="http://schemas.openxmlformats.org/officeDocument/2006/relationships/hyperlink" Target="http://www.wfsf.org/resources/pedagogical-resources/futures-books-online" TargetMode="External"/><Relationship Id="rId25" Type="http://schemas.openxmlformats.org/officeDocument/2006/relationships/hyperlink" Target="http://www.wfsf.org/resources/pedagogical-resources/pedagogical-games-and-interactive-web-resources/115-games-with-higher-purpose-2007/file" TargetMode="External"/><Relationship Id="rId33" Type="http://schemas.openxmlformats.org/officeDocument/2006/relationships/hyperlink" Target="http://wisdom.unu.edu/en/"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wfsf.org/resources/pedagogical-resources/futures-course-outlines" TargetMode="External"/><Relationship Id="rId20" Type="http://schemas.openxmlformats.org/officeDocument/2006/relationships/hyperlink" Target="http://www.wfsf.org/resources/wfsf-video-channel" TargetMode="External"/><Relationship Id="rId29" Type="http://schemas.openxmlformats.org/officeDocument/2006/relationships/hyperlink" Target="http://www.ingenious-science.eu/web/guest/ignite-your-futur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wfsf.org/resources/pedagogical-resources" TargetMode="External"/><Relationship Id="rId24" Type="http://schemas.openxmlformats.org/officeDocument/2006/relationships/hyperlink" Target="http://www.wfsf.org/resources/pedagogical-resources/pedagogical-games-and-interactive-web-resources?limit=50" TargetMode="External"/><Relationship Id="rId32" Type="http://schemas.openxmlformats.org/officeDocument/2006/relationships/hyperlink" Target="http://ourworld.unu.edu/en/"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wfsf.org/resources/pedagogical-resources/articles-used-by-futures-teachers" TargetMode="External"/><Relationship Id="rId23" Type="http://schemas.openxmlformats.org/officeDocument/2006/relationships/hyperlink" Target="http://www.wfsf.org/resources/pedagogical-resources/ppt-presentations-on-futures-studies" TargetMode="External"/><Relationship Id="rId28" Type="http://schemas.openxmlformats.org/officeDocument/2006/relationships/hyperlink" Target="http://www.2020energy.eu/en" TargetMode="External"/><Relationship Id="rId36" Type="http://schemas.openxmlformats.org/officeDocument/2006/relationships/footer" Target="footer2.xml"/><Relationship Id="rId10" Type="http://schemas.openxmlformats.org/officeDocument/2006/relationships/hyperlink" Target="http://www.wfsf.org/about-us/wfsf" TargetMode="External"/><Relationship Id="rId19" Type="http://schemas.openxmlformats.org/officeDocument/2006/relationships/hyperlink" Target="http://www.wfsf.org/resources/wfsf-video-channel" TargetMode="External"/><Relationship Id="rId31" Type="http://schemas.openxmlformats.org/officeDocument/2006/relationships/hyperlink" Target="http://www.canal-u.tv/video/canal_uved/la_maison_positive.13766"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wfsf.org/images/WFSF_2006_Futures_Courses_Global.pdf" TargetMode="External"/><Relationship Id="rId22" Type="http://schemas.openxmlformats.org/officeDocument/2006/relationships/hyperlink" Target="http://www.wfsf.org/resources/pedagogical-resources/ppt-presentations-on-futures-studies" TargetMode="External"/><Relationship Id="rId27" Type="http://schemas.openxmlformats.org/officeDocument/2006/relationships/hyperlink" Target="http://www.personalfutures.net/index.html" TargetMode="External"/><Relationship Id="rId30" Type="http://schemas.openxmlformats.org/officeDocument/2006/relationships/hyperlink" Target="http://www.xplorehealth.eu/en/students/toward-malaria-free-world" TargetMode="External"/><Relationship Id="rId35"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TeachTheFuture.org"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20Bishop\AppData\Roaming\Microsoft\Templates\Desig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D136E0-E524-405C-A726-7CD81780F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Design template</Template>
  <TotalTime>9</TotalTime>
  <Pages>4</Pages>
  <Words>1168</Words>
  <Characters>6662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Bishop</dc:creator>
  <cp:lastModifiedBy>Peter Bishop</cp:lastModifiedBy>
  <cp:revision>2</cp:revision>
  <dcterms:created xsi:type="dcterms:W3CDTF">2016-03-10T22:57:00Z</dcterms:created>
  <dcterms:modified xsi:type="dcterms:W3CDTF">2016-03-16T15:52:00Z</dcterms:modified>
</cp:coreProperties>
</file>